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7C68BE" w:rsidRPr="007C68BE" w:rsidRDefault="007C68BE" w:rsidP="007C68BE">
      <w:pPr>
        <w:pStyle w:val="2"/>
        <w:rPr>
          <w:color w:val="FF0000"/>
          <w:sz w:val="24"/>
          <w:szCs w:val="24"/>
        </w:rPr>
      </w:pPr>
      <w:r w:rsidRPr="007C68BE">
        <w:rPr>
          <w:color w:val="FF0000"/>
          <w:sz w:val="24"/>
          <w:szCs w:val="24"/>
        </w:rPr>
        <w:t>Статья 4. Применение к семейным отношениям гражданского законодательства</w:t>
      </w:r>
    </w:p>
    <w:p w:rsidR="007C68BE" w:rsidRPr="007C68BE" w:rsidRDefault="007C68BE" w:rsidP="007C68B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7C68BE">
        <w:rPr>
          <w:rFonts w:ascii="Arial" w:hAnsi="Arial" w:cs="Arial"/>
          <w:color w:val="000000"/>
        </w:rPr>
        <w:t>К названным в статье 2 настоящего Кодекса имущественным и личным неимущественным отношениям между членами семьи, не урегулированным семейным законодательством (статья 3 настоящего Кодекса), применяется гражданское законодательство постольку, поскольку это не противоречит существу семейных отношений.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397CC7"/>
    <w:rsid w:val="004F312F"/>
    <w:rsid w:val="007424A1"/>
    <w:rsid w:val="007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2016-07-19T11:46:00Z</dcterms:created>
  <dcterms:modified xsi:type="dcterms:W3CDTF">2016-07-19T11:46:00Z</dcterms:modified>
</cp:coreProperties>
</file>