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255F22">
      <w:pPr>
        <w:rPr>
          <w:rFonts w:ascii="Tahoma" w:hAnsi="Tahoma" w:cs="Tahoma"/>
          <w:color w:val="000000"/>
          <w:sz w:val="28"/>
          <w:szCs w:val="28"/>
          <w:lang w:val="uk-UA"/>
        </w:rPr>
      </w:pPr>
      <w:r>
        <w:rPr>
          <w:rFonts w:ascii="Tahoma" w:hAnsi="Tahoma" w:cs="Tahoma"/>
          <w:color w:val="000000"/>
          <w:sz w:val="28"/>
          <w:szCs w:val="28"/>
          <w:lang w:val="uk-UA"/>
        </w:rPr>
        <w:t>НАЛОГОВЫЙ КОДЕКС РФ</w:t>
      </w:r>
    </w:p>
    <w:p w:rsidR="00A90311" w:rsidRPr="00A90311" w:rsidRDefault="00A90311" w:rsidP="00A90311">
      <w:pPr>
        <w:pStyle w:val="2"/>
        <w:rPr>
          <w:color w:val="FF0000"/>
          <w:sz w:val="24"/>
          <w:szCs w:val="24"/>
        </w:rPr>
      </w:pPr>
      <w:r w:rsidRPr="00A90311">
        <w:rPr>
          <w:color w:val="FF0000"/>
          <w:sz w:val="24"/>
          <w:szCs w:val="24"/>
        </w:rPr>
        <w:t>Статья 333. Особенности ведения налогового учета доходов (расходов) по операциям РЕПО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FF0000"/>
        </w:rPr>
      </w:pPr>
      <w:r w:rsidRPr="00A90311">
        <w:rPr>
          <w:rFonts w:ascii="Arial" w:hAnsi="Arial" w:cs="Arial"/>
          <w:color w:val="000000"/>
        </w:rPr>
        <w:t>Аналитический учет операций РЕПО ведется на отдельно выделенных для этих целей аналитических регистрах налогового учета в отношении каждой операции, для денежных средств в иностранной валюте - в двойной оценке: в иностранной валюте и рублях.</w:t>
      </w:r>
      <w:bookmarkStart w:id="0" w:name="_GoBack"/>
      <w:bookmarkEnd w:id="0"/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Учет стоимости ценных бумаг, подлежащих передаче при исполнении второй части РЕПО, осуществляет налогоплательщик, являющийся продавцом по первой части РЕПО.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В аналитическом учете отражаются дата реализации (приобретения) и стоимость реализованных (приобретенных) ценных бумаг по первой части РЕПО, дата приобретения (реализации) и стоимость ценных бумаг, подлежащих приобретению (реализации) при исполнении второй части РЕПО.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В случаях, если объектом операции РЕПО выступают ценные бумаги, номинированные в иностранной валюте, возникающие у покупателя (продавца) по первой части РЕПО обязательства (требования) по их обратному выкупу не подлежат переоценке в связи с изменением официальных курсов иностранных валют к рублю Российской Федерации, установленных Центральным банком Российской Федерации.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Обязательства (требования) по денежным средствам в иностранной валюте по второй части РЕПО, когда доходы (расходы) по операции РЕПО рассматриваются в соответствии с пунктами 3 и 4 статьи 282 настоящего Кодекса как проценты по займу, предоставленному (полученному) ценными бумагами,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Обязательства (требования) по денежным средствам в иностранной валюте по возврату (получению) привлеченных (размещенных) средств в случаях, если доходы (расходы) по операции РЕПО признаются в соответствии с пунктами 3 и 4 статьи 282 настоящего Кодекса как проценты по размещенным (привлеченным) средствам,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t>Сумма денежных обязательств (требований), подлежащих переоценке в связи с изменением официального курса иностранной валюты к рублю Российской Федерации, установленного Центральным банком Российской Федерации, может быть изменена, если в соответствии с условиями договора репо выплаты эмитента по ценным бумагам либо предусмотренные договором денежные расчеты в случае изменения цены ценных бумаг или в иных случаях, предусмотренных договором репо, в период между датами исполнения первой и второй частей РЕПО уменьшают сумму денежных средств, подлежащих уплате продавцом по первой части РЕПО при последующем приобретении ценных бумаг по второй части РЕПО.</w:t>
      </w:r>
    </w:p>
    <w:p w:rsidR="00A90311" w:rsidRPr="00A90311" w:rsidRDefault="00A90311" w:rsidP="00A9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A90311">
        <w:rPr>
          <w:rFonts w:ascii="Arial" w:hAnsi="Arial" w:cs="Arial"/>
          <w:color w:val="000000"/>
        </w:rPr>
        <w:lastRenderedPageBreak/>
        <w:t>Результат указанной переоценки учитывается в составе внереализационных доходов (расходов) организации.</w:t>
      </w:r>
    </w:p>
    <w:p w:rsidR="001C6644" w:rsidRPr="00255F22" w:rsidRDefault="001C6644" w:rsidP="00A90311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255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44982"/>
    <w:rsid w:val="00170A4E"/>
    <w:rsid w:val="001C6644"/>
    <w:rsid w:val="001D690D"/>
    <w:rsid w:val="00255F22"/>
    <w:rsid w:val="00556A1C"/>
    <w:rsid w:val="006064F4"/>
    <w:rsid w:val="00623C02"/>
    <w:rsid w:val="00725C70"/>
    <w:rsid w:val="007A6A57"/>
    <w:rsid w:val="00A90311"/>
    <w:rsid w:val="00AA4A63"/>
    <w:rsid w:val="00B705FD"/>
    <w:rsid w:val="00CD39C6"/>
    <w:rsid w:val="00F7713C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725">
              <w:marLeft w:val="18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666666"/>
                <w:right w:val="none" w:sz="0" w:space="0" w:color="auto"/>
              </w:divBdr>
              <w:divsChild>
                <w:div w:id="209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2675</Characters>
  <Application>Microsoft Office Word</Application>
  <DocSecurity>0</DocSecurity>
  <Lines>62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2016-07-02T11:58:00Z</dcterms:created>
  <dcterms:modified xsi:type="dcterms:W3CDTF">2016-07-02T11:59:00Z</dcterms:modified>
</cp:coreProperties>
</file>